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F7" w:rsidRDefault="001F1EF7">
      <w:pPr>
        <w:pStyle w:val="Title"/>
      </w:pPr>
      <w:bookmarkStart w:id="0" w:name="_GoBack"/>
      <w:bookmarkEnd w:id="0"/>
    </w:p>
    <w:p w:rsidR="001F1EF7" w:rsidRDefault="00B86C6B">
      <w:pPr>
        <w:pStyle w:val="Title"/>
        <w:rPr>
          <w:rFonts w:ascii="Arial" w:hAnsi="Arial"/>
          <w:sz w:val="32"/>
        </w:rPr>
      </w:pPr>
      <w:r>
        <w:t>DRUG COURT OF NEW SOUTH WALES</w:t>
      </w:r>
    </w:p>
    <w:p w:rsidR="001F1EF7" w:rsidRDefault="001F1EF7">
      <w:pPr>
        <w:jc w:val="center"/>
      </w:pPr>
    </w:p>
    <w:p w:rsidR="001F1EF7" w:rsidRDefault="001F1EF7">
      <w:pPr>
        <w:jc w:val="center"/>
      </w:pP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5805"/>
      </w:tblGrid>
      <w:tr w:rsidR="001F1EF7">
        <w:tc>
          <w:tcPr>
            <w:tcW w:w="2943" w:type="dxa"/>
            <w:tcBorders>
              <w:top w:val="single" w:sz="6" w:space="0" w:color="000000"/>
              <w:left w:val="single" w:sz="6" w:space="0" w:color="000000"/>
              <w:bottom w:val="single" w:sz="6" w:space="0" w:color="000000"/>
              <w:right w:val="single" w:sz="6" w:space="0" w:color="000000"/>
            </w:tcBorders>
          </w:tcPr>
          <w:p w:rsidR="001F1EF7" w:rsidRDefault="001F1EF7">
            <w:pPr>
              <w:jc w:val="center"/>
              <w:rPr>
                <w:b/>
                <w:i/>
              </w:rPr>
            </w:pPr>
          </w:p>
          <w:p w:rsidR="001F1EF7" w:rsidRDefault="00B86C6B">
            <w:pPr>
              <w:jc w:val="center"/>
              <w:rPr>
                <w:b/>
                <w:i/>
              </w:rPr>
            </w:pPr>
            <w:r>
              <w:rPr>
                <w:b/>
                <w:i/>
              </w:rPr>
              <w:t>Policy 13</w:t>
            </w:r>
          </w:p>
          <w:p w:rsidR="001F1EF7" w:rsidRDefault="001F1EF7">
            <w:pPr>
              <w:jc w:val="center"/>
              <w:rPr>
                <w:b/>
                <w:i/>
              </w:rPr>
            </w:pPr>
          </w:p>
        </w:tc>
        <w:tc>
          <w:tcPr>
            <w:tcW w:w="5805" w:type="dxa"/>
            <w:tcBorders>
              <w:top w:val="single" w:sz="6" w:space="0" w:color="000000"/>
              <w:left w:val="single" w:sz="6" w:space="0" w:color="000000"/>
              <w:bottom w:val="single" w:sz="6" w:space="0" w:color="000000"/>
              <w:right w:val="single" w:sz="6" w:space="0" w:color="000000"/>
            </w:tcBorders>
          </w:tcPr>
          <w:p w:rsidR="001F1EF7" w:rsidRDefault="001F1EF7">
            <w:pPr>
              <w:jc w:val="center"/>
              <w:rPr>
                <w:b/>
              </w:rPr>
            </w:pPr>
          </w:p>
          <w:p w:rsidR="001F1EF7" w:rsidRDefault="00B86C6B">
            <w:pPr>
              <w:jc w:val="center"/>
            </w:pPr>
            <w:r>
              <w:rPr>
                <w:b/>
              </w:rPr>
              <w:t>Travel by participants</w:t>
            </w:r>
          </w:p>
        </w:tc>
      </w:tr>
      <w:tr w:rsidR="001F1EF7">
        <w:tc>
          <w:tcPr>
            <w:tcW w:w="2943" w:type="dxa"/>
            <w:tcBorders>
              <w:top w:val="single" w:sz="6" w:space="0" w:color="000000"/>
              <w:left w:val="single" w:sz="6" w:space="0" w:color="000000"/>
              <w:bottom w:val="single" w:sz="6" w:space="0" w:color="000000"/>
              <w:right w:val="single" w:sz="6" w:space="0" w:color="000000"/>
            </w:tcBorders>
          </w:tcPr>
          <w:p w:rsidR="001F1EF7" w:rsidRDefault="001F1EF7">
            <w:pPr>
              <w:jc w:val="center"/>
              <w:rPr>
                <w:b/>
                <w:i/>
              </w:rPr>
            </w:pPr>
          </w:p>
          <w:p w:rsidR="001F1EF7" w:rsidRDefault="00B86C6B">
            <w:pPr>
              <w:jc w:val="center"/>
              <w:rPr>
                <w:b/>
                <w:i/>
              </w:rPr>
            </w:pPr>
            <w:r>
              <w:rPr>
                <w:b/>
                <w:i/>
              </w:rPr>
              <w:t>Commenced</w:t>
            </w:r>
          </w:p>
          <w:p w:rsidR="001F1EF7" w:rsidRDefault="001F1EF7">
            <w:pPr>
              <w:jc w:val="center"/>
              <w:rPr>
                <w:b/>
                <w:i/>
              </w:rPr>
            </w:pPr>
          </w:p>
          <w:p w:rsidR="001F1EF7" w:rsidRDefault="001F1EF7">
            <w:pPr>
              <w:jc w:val="center"/>
              <w:rPr>
                <w:b/>
                <w:i/>
              </w:rPr>
            </w:pPr>
          </w:p>
        </w:tc>
        <w:tc>
          <w:tcPr>
            <w:tcW w:w="5805" w:type="dxa"/>
            <w:tcBorders>
              <w:top w:val="single" w:sz="6" w:space="0" w:color="000000"/>
              <w:left w:val="single" w:sz="6" w:space="0" w:color="000000"/>
              <w:bottom w:val="single" w:sz="6" w:space="0" w:color="000000"/>
              <w:right w:val="single" w:sz="6" w:space="0" w:color="000000"/>
            </w:tcBorders>
          </w:tcPr>
          <w:p w:rsidR="001F1EF7" w:rsidRDefault="001F1EF7">
            <w:pPr>
              <w:jc w:val="center"/>
            </w:pPr>
          </w:p>
          <w:p w:rsidR="001F1EF7" w:rsidRPr="00B86C6B" w:rsidRDefault="00B86C6B">
            <w:pPr>
              <w:jc w:val="center"/>
              <w:rPr>
                <w:b/>
              </w:rPr>
            </w:pPr>
            <w:r w:rsidRPr="00B86C6B">
              <w:rPr>
                <w:b/>
              </w:rPr>
              <w:t>November 2017</w:t>
            </w:r>
          </w:p>
          <w:p w:rsidR="001F1EF7" w:rsidRDefault="001F1EF7"/>
          <w:p w:rsidR="001F1EF7" w:rsidRDefault="001F1EF7">
            <w:pPr>
              <w:jc w:val="center"/>
            </w:pPr>
          </w:p>
        </w:tc>
      </w:tr>
    </w:tbl>
    <w:p w:rsidR="001F1EF7" w:rsidRDefault="001F1EF7">
      <w:pPr>
        <w:pStyle w:val="Header"/>
        <w:tabs>
          <w:tab w:val="clear" w:pos="4153"/>
          <w:tab w:val="clear" w:pos="8306"/>
        </w:tabs>
      </w:pPr>
    </w:p>
    <w:p w:rsidR="001F1EF7" w:rsidRDefault="00B86C6B">
      <w:pPr>
        <w:pStyle w:val="Heading1"/>
        <w:tabs>
          <w:tab w:val="left" w:pos="360"/>
        </w:tabs>
        <w:jc w:val="left"/>
        <w:rPr>
          <w:b/>
          <w:bCs/>
          <w:sz w:val="24"/>
        </w:rPr>
      </w:pPr>
      <w:r>
        <w:rPr>
          <w:b/>
          <w:bCs/>
          <w:sz w:val="24"/>
        </w:rPr>
        <w:t>1.</w:t>
      </w:r>
      <w:r>
        <w:rPr>
          <w:b/>
          <w:bCs/>
          <w:sz w:val="24"/>
        </w:rPr>
        <w:tab/>
        <w:t>PURPOSES OF POLICY</w:t>
      </w:r>
    </w:p>
    <w:p w:rsidR="001F1EF7" w:rsidRDefault="001F1EF7"/>
    <w:p w:rsidR="001F1EF7" w:rsidRDefault="00B86C6B">
      <w:pPr>
        <w:pStyle w:val="BodyText"/>
        <w:numPr>
          <w:ilvl w:val="0"/>
          <w:numId w:val="2"/>
        </w:numPr>
        <w:jc w:val="both"/>
        <w:rPr>
          <w:sz w:val="24"/>
        </w:rPr>
      </w:pPr>
      <w:r>
        <w:rPr>
          <w:sz w:val="24"/>
        </w:rPr>
        <w:t>The Drug Court accepts that allowing a participant to travel intrastate, or even interstate, in some circumstances can be important in the achievement of rehabilitation.  The Drug Court may, for example, grant travel permission for a participant to attend a funeral, visit a sick relative, or collect a child from another location.</w:t>
      </w:r>
    </w:p>
    <w:p w:rsidR="001F1EF7" w:rsidRDefault="001F1EF7">
      <w:pPr>
        <w:jc w:val="both"/>
      </w:pPr>
    </w:p>
    <w:p w:rsidR="001F1EF7" w:rsidRDefault="00B86C6B">
      <w:pPr>
        <w:pStyle w:val="BodyText3"/>
        <w:numPr>
          <w:ilvl w:val="0"/>
          <w:numId w:val="2"/>
        </w:numPr>
      </w:pPr>
      <w:r>
        <w:t>Similarly, allowing a participant to visit a close relative or someone who is very significant in their life who is in gaol may also assist in achieving rehabilitation.</w:t>
      </w:r>
    </w:p>
    <w:p w:rsidR="001F1EF7" w:rsidRDefault="001F1EF7">
      <w:pPr>
        <w:jc w:val="both"/>
      </w:pPr>
    </w:p>
    <w:p w:rsidR="001F1EF7" w:rsidRDefault="00B86C6B">
      <w:pPr>
        <w:pStyle w:val="Heading1"/>
        <w:tabs>
          <w:tab w:val="left" w:pos="360"/>
        </w:tabs>
        <w:jc w:val="left"/>
        <w:rPr>
          <w:b/>
          <w:bCs/>
          <w:sz w:val="24"/>
        </w:rPr>
      </w:pPr>
      <w:r>
        <w:rPr>
          <w:b/>
          <w:bCs/>
          <w:sz w:val="24"/>
        </w:rPr>
        <w:t>2.</w:t>
      </w:r>
      <w:r>
        <w:rPr>
          <w:b/>
          <w:bCs/>
          <w:sz w:val="24"/>
        </w:rPr>
        <w:tab/>
        <w:t>DEFINITIONS</w:t>
      </w:r>
    </w:p>
    <w:p w:rsidR="001F1EF7" w:rsidRDefault="001F1EF7"/>
    <w:tbl>
      <w:tblPr>
        <w:tblW w:w="8280" w:type="dxa"/>
        <w:tblInd w:w="468" w:type="dxa"/>
        <w:tblLayout w:type="fixed"/>
        <w:tblLook w:val="0000" w:firstRow="0" w:lastRow="0" w:firstColumn="0" w:lastColumn="0" w:noHBand="0" w:noVBand="0"/>
      </w:tblPr>
      <w:tblGrid>
        <w:gridCol w:w="1980"/>
        <w:gridCol w:w="6300"/>
      </w:tblGrid>
      <w:tr w:rsidR="001F1EF7">
        <w:tc>
          <w:tcPr>
            <w:tcW w:w="1980" w:type="dxa"/>
            <w:tcBorders>
              <w:top w:val="nil"/>
              <w:left w:val="nil"/>
              <w:bottom w:val="nil"/>
              <w:right w:val="nil"/>
            </w:tcBorders>
          </w:tcPr>
          <w:p w:rsidR="001F1EF7" w:rsidRDefault="00B86C6B">
            <w:pPr>
              <w:rPr>
                <w:b/>
              </w:rPr>
            </w:pPr>
            <w:r>
              <w:rPr>
                <w:b/>
                <w:i/>
              </w:rPr>
              <w:t>Act</w:t>
            </w:r>
            <w:r>
              <w:rPr>
                <w:b/>
              </w:rPr>
              <w:t xml:space="preserve"> </w:t>
            </w:r>
          </w:p>
        </w:tc>
        <w:tc>
          <w:tcPr>
            <w:tcW w:w="6300" w:type="dxa"/>
            <w:tcBorders>
              <w:top w:val="nil"/>
              <w:left w:val="nil"/>
              <w:bottom w:val="nil"/>
              <w:right w:val="nil"/>
            </w:tcBorders>
          </w:tcPr>
          <w:p w:rsidR="001F1EF7" w:rsidRDefault="00B86C6B">
            <w:pPr>
              <w:jc w:val="both"/>
              <w:rPr>
                <w:b/>
                <w:i/>
              </w:rPr>
            </w:pPr>
            <w:r>
              <w:t>means the Drug Court Act 1998</w:t>
            </w:r>
          </w:p>
        </w:tc>
      </w:tr>
      <w:tr w:rsidR="001F1EF7">
        <w:tc>
          <w:tcPr>
            <w:tcW w:w="1980" w:type="dxa"/>
            <w:tcBorders>
              <w:top w:val="nil"/>
              <w:left w:val="nil"/>
              <w:bottom w:val="nil"/>
              <w:right w:val="nil"/>
            </w:tcBorders>
          </w:tcPr>
          <w:p w:rsidR="001F1EF7" w:rsidRDefault="00B86C6B">
            <w:pPr>
              <w:tabs>
                <w:tab w:val="left" w:pos="9639"/>
              </w:tabs>
              <w:ind w:left="284" w:hanging="431"/>
              <w:rPr>
                <w:b/>
              </w:rPr>
            </w:pPr>
            <w:r>
              <w:rPr>
                <w:b/>
                <w:i/>
              </w:rPr>
              <w:t xml:space="preserve">  Case Manager</w:t>
            </w:r>
            <w:r>
              <w:rPr>
                <w:b/>
              </w:rPr>
              <w:t xml:space="preserve"> </w:t>
            </w:r>
          </w:p>
        </w:tc>
        <w:tc>
          <w:tcPr>
            <w:tcW w:w="6300" w:type="dxa"/>
            <w:tcBorders>
              <w:top w:val="nil"/>
              <w:left w:val="nil"/>
              <w:bottom w:val="nil"/>
              <w:right w:val="nil"/>
            </w:tcBorders>
          </w:tcPr>
          <w:p w:rsidR="001F1EF7" w:rsidRDefault="00B86C6B" w:rsidP="00B86C6B">
            <w:pPr>
              <w:pStyle w:val="Footer"/>
              <w:tabs>
                <w:tab w:val="clear" w:pos="4153"/>
                <w:tab w:val="clear" w:pos="8306"/>
                <w:tab w:val="left" w:pos="9639"/>
              </w:tabs>
              <w:overflowPunct/>
              <w:autoSpaceDE/>
              <w:autoSpaceDN/>
              <w:adjustRightInd/>
              <w:textAlignment w:val="auto"/>
              <w:rPr>
                <w:b/>
                <w:i/>
                <w:szCs w:val="24"/>
              </w:rPr>
            </w:pPr>
            <w:r>
              <w:rPr>
                <w:szCs w:val="24"/>
              </w:rPr>
              <w:t>means a Community Corrections officer assigned to a participant</w:t>
            </w:r>
          </w:p>
        </w:tc>
      </w:tr>
      <w:tr w:rsidR="001F1EF7">
        <w:tc>
          <w:tcPr>
            <w:tcW w:w="1980" w:type="dxa"/>
            <w:tcBorders>
              <w:top w:val="nil"/>
              <w:left w:val="nil"/>
              <w:bottom w:val="nil"/>
              <w:right w:val="nil"/>
            </w:tcBorders>
          </w:tcPr>
          <w:p w:rsidR="001F1EF7" w:rsidRDefault="00B86C6B">
            <w:pPr>
              <w:rPr>
                <w:b/>
              </w:rPr>
            </w:pPr>
            <w:r>
              <w:rPr>
                <w:b/>
                <w:i/>
              </w:rPr>
              <w:t>Drug Court</w:t>
            </w:r>
            <w:r>
              <w:rPr>
                <w:b/>
              </w:rPr>
              <w:t xml:space="preserve"> </w:t>
            </w:r>
          </w:p>
        </w:tc>
        <w:tc>
          <w:tcPr>
            <w:tcW w:w="6300" w:type="dxa"/>
            <w:tcBorders>
              <w:top w:val="nil"/>
              <w:left w:val="nil"/>
              <w:bottom w:val="nil"/>
              <w:right w:val="nil"/>
            </w:tcBorders>
          </w:tcPr>
          <w:p w:rsidR="001F1EF7" w:rsidRDefault="00B86C6B">
            <w:pPr>
              <w:jc w:val="both"/>
              <w:rPr>
                <w:b/>
                <w:i/>
              </w:rPr>
            </w:pPr>
            <w:r>
              <w:t>means the Drug Court of N.S.W.</w:t>
            </w:r>
            <w:r>
              <w:rPr>
                <w:b/>
                <w:i/>
              </w:rPr>
              <w:t xml:space="preserve"> </w:t>
            </w:r>
          </w:p>
        </w:tc>
      </w:tr>
      <w:tr w:rsidR="001F1EF7">
        <w:tc>
          <w:tcPr>
            <w:tcW w:w="1980" w:type="dxa"/>
            <w:tcBorders>
              <w:top w:val="nil"/>
              <w:left w:val="nil"/>
              <w:bottom w:val="nil"/>
              <w:right w:val="nil"/>
            </w:tcBorders>
          </w:tcPr>
          <w:p w:rsidR="001F1EF7" w:rsidRDefault="00B86C6B">
            <w:pPr>
              <w:rPr>
                <w:b/>
                <w:i/>
              </w:rPr>
            </w:pPr>
            <w:r>
              <w:rPr>
                <w:b/>
                <w:i/>
              </w:rPr>
              <w:t>Drug Court program</w:t>
            </w:r>
          </w:p>
        </w:tc>
        <w:tc>
          <w:tcPr>
            <w:tcW w:w="6300" w:type="dxa"/>
            <w:tcBorders>
              <w:top w:val="nil"/>
              <w:left w:val="nil"/>
              <w:bottom w:val="nil"/>
              <w:right w:val="nil"/>
            </w:tcBorders>
          </w:tcPr>
          <w:p w:rsidR="001F1EF7" w:rsidRDefault="00B86C6B">
            <w:pPr>
              <w:jc w:val="both"/>
              <w:rPr>
                <w:b/>
                <w:i/>
              </w:rPr>
            </w:pPr>
            <w:r>
              <w:t>means the conditions accepted by the participant and imposed by the Court under section 7(3)(a) of the Act.</w:t>
            </w:r>
          </w:p>
        </w:tc>
      </w:tr>
      <w:tr w:rsidR="001F1EF7">
        <w:tc>
          <w:tcPr>
            <w:tcW w:w="1980" w:type="dxa"/>
            <w:tcBorders>
              <w:top w:val="nil"/>
              <w:left w:val="nil"/>
              <w:bottom w:val="nil"/>
              <w:right w:val="nil"/>
            </w:tcBorders>
          </w:tcPr>
          <w:p w:rsidR="001F1EF7" w:rsidRDefault="00B86C6B">
            <w:pPr>
              <w:rPr>
                <w:b/>
                <w:i/>
              </w:rPr>
            </w:pPr>
            <w:r>
              <w:rPr>
                <w:b/>
                <w:i/>
              </w:rPr>
              <w:t>Drug Court team</w:t>
            </w:r>
          </w:p>
        </w:tc>
        <w:tc>
          <w:tcPr>
            <w:tcW w:w="6300" w:type="dxa"/>
            <w:tcBorders>
              <w:top w:val="nil"/>
              <w:left w:val="nil"/>
              <w:bottom w:val="nil"/>
              <w:right w:val="nil"/>
            </w:tcBorders>
          </w:tcPr>
          <w:p w:rsidR="001F1EF7" w:rsidRDefault="00B86C6B" w:rsidP="00B86C6B">
            <w:pPr>
              <w:jc w:val="both"/>
              <w:rPr>
                <w:b/>
                <w:i/>
              </w:rPr>
            </w:pPr>
            <w:r>
              <w:t>means a Drug Court judge, the Registrar, the solicitor from the Legal Aid NSW, the solicitor from the Office of the Director of Public Prosecutions, the Police Prosecutor, the Community Corrections co-ordinator and the Clinical Nurse Consultant who are attached to the Drug Court, and/or the alternates for each.</w:t>
            </w:r>
          </w:p>
        </w:tc>
      </w:tr>
      <w:tr w:rsidR="001F1EF7">
        <w:tc>
          <w:tcPr>
            <w:tcW w:w="1980" w:type="dxa"/>
            <w:tcBorders>
              <w:top w:val="nil"/>
              <w:left w:val="nil"/>
              <w:bottom w:val="nil"/>
              <w:right w:val="nil"/>
            </w:tcBorders>
          </w:tcPr>
          <w:p w:rsidR="001F1EF7" w:rsidRDefault="00B86C6B">
            <w:pPr>
              <w:rPr>
                <w:b/>
              </w:rPr>
            </w:pPr>
            <w:r>
              <w:rPr>
                <w:b/>
                <w:i/>
              </w:rPr>
              <w:t>Participant</w:t>
            </w:r>
            <w:r>
              <w:rPr>
                <w:b/>
              </w:rPr>
              <w:t xml:space="preserve"> </w:t>
            </w:r>
          </w:p>
        </w:tc>
        <w:tc>
          <w:tcPr>
            <w:tcW w:w="6300" w:type="dxa"/>
            <w:tcBorders>
              <w:top w:val="nil"/>
              <w:left w:val="nil"/>
              <w:bottom w:val="nil"/>
              <w:right w:val="nil"/>
            </w:tcBorders>
          </w:tcPr>
          <w:p w:rsidR="001F1EF7" w:rsidRDefault="00B86C6B">
            <w:pPr>
              <w:jc w:val="both"/>
              <w:rPr>
                <w:b/>
                <w:i/>
              </w:rPr>
            </w:pPr>
            <w:r>
              <w:t>means a “drug offender” as defined in the Drug Court Act 1998</w:t>
            </w:r>
          </w:p>
        </w:tc>
      </w:tr>
    </w:tbl>
    <w:p w:rsidR="001F1EF7" w:rsidRDefault="001F1EF7">
      <w:pPr>
        <w:pStyle w:val="Heading1"/>
        <w:tabs>
          <w:tab w:val="left" w:pos="360"/>
        </w:tabs>
        <w:jc w:val="left"/>
        <w:rPr>
          <w:b/>
          <w:bCs/>
          <w:sz w:val="24"/>
        </w:rPr>
      </w:pPr>
    </w:p>
    <w:p w:rsidR="001F1EF7" w:rsidRDefault="00B86C6B">
      <w:pPr>
        <w:pStyle w:val="Heading1"/>
        <w:tabs>
          <w:tab w:val="left" w:pos="360"/>
        </w:tabs>
        <w:jc w:val="left"/>
        <w:rPr>
          <w:b/>
          <w:bCs/>
        </w:rPr>
      </w:pPr>
      <w:r>
        <w:rPr>
          <w:b/>
          <w:bCs/>
          <w:sz w:val="24"/>
        </w:rPr>
        <w:t>3.</w:t>
      </w:r>
      <w:r>
        <w:rPr>
          <w:b/>
          <w:bCs/>
          <w:sz w:val="24"/>
        </w:rPr>
        <w:tab/>
        <w:t>POLICY</w:t>
      </w:r>
    </w:p>
    <w:p w:rsidR="001F1EF7" w:rsidRDefault="001F1EF7">
      <w:pPr>
        <w:rPr>
          <w:sz w:val="28"/>
        </w:rPr>
      </w:pPr>
    </w:p>
    <w:p w:rsidR="001F1EF7" w:rsidRDefault="00B86C6B">
      <w:pPr>
        <w:rPr>
          <w:b/>
          <w:bCs/>
          <w:i/>
          <w:iCs/>
        </w:rPr>
      </w:pPr>
      <w:r>
        <w:tab/>
      </w:r>
      <w:r>
        <w:rPr>
          <w:b/>
          <w:bCs/>
          <w:i/>
          <w:iCs/>
        </w:rPr>
        <w:t>Travel</w:t>
      </w:r>
    </w:p>
    <w:p w:rsidR="001F1EF7" w:rsidRDefault="001F1EF7">
      <w:pPr>
        <w:rPr>
          <w:b/>
          <w:bCs/>
          <w:i/>
          <w:iCs/>
        </w:rPr>
      </w:pPr>
    </w:p>
    <w:p w:rsidR="001F1EF7" w:rsidRDefault="00B86C6B">
      <w:pPr>
        <w:ind w:left="720" w:hanging="720"/>
        <w:jc w:val="both"/>
      </w:pPr>
      <w:r>
        <w:t>3.1</w:t>
      </w:r>
      <w:r>
        <w:tab/>
        <w:t>Any travel outside the Sydney Metropolitan area must be approved by the Drug Court in advance, even if no overnight stay is required.</w:t>
      </w:r>
    </w:p>
    <w:p w:rsidR="001F1EF7" w:rsidRDefault="001F1EF7">
      <w:pPr>
        <w:jc w:val="both"/>
      </w:pPr>
    </w:p>
    <w:p w:rsidR="001F1EF7" w:rsidRDefault="00B86C6B">
      <w:pPr>
        <w:ind w:left="720" w:hanging="720"/>
        <w:jc w:val="both"/>
      </w:pPr>
      <w:r>
        <w:lastRenderedPageBreak/>
        <w:t>3.2</w:t>
      </w:r>
      <w:r>
        <w:tab/>
        <w:t>Each individual trip requires specific approval.  Approval will depend upon the current stability of the participant, the importance or validity of the purpose of the trip, an assessment of the difficulty involved in the planned travel, and whether adequate and proper arrangements can be put in place.</w:t>
      </w:r>
    </w:p>
    <w:p w:rsidR="001F1EF7" w:rsidRDefault="001F1EF7">
      <w:pPr>
        <w:jc w:val="both"/>
      </w:pPr>
    </w:p>
    <w:p w:rsidR="001F1EF7" w:rsidRDefault="00B86C6B">
      <w:pPr>
        <w:ind w:left="720" w:hanging="720"/>
        <w:jc w:val="both"/>
      </w:pPr>
      <w:r>
        <w:t>3.3</w:t>
      </w:r>
      <w:r>
        <w:tab/>
        <w:t xml:space="preserve">The participant is to complete the Drug Court’s </w:t>
      </w:r>
      <w:r>
        <w:rPr>
          <w:i/>
          <w:iCs/>
        </w:rPr>
        <w:t xml:space="preserve">“Travel Check List” </w:t>
      </w:r>
      <w:r>
        <w:t>and discuss the details with his or her Case Manager.  The Travel Check List addresses such issues as travel times and mode of travel, urinalysis arrangements, contact addresses and phone numbers, and any pharmacotherapy arrangements required.</w:t>
      </w:r>
    </w:p>
    <w:p w:rsidR="001F1EF7" w:rsidRDefault="001F1EF7">
      <w:pPr>
        <w:jc w:val="both"/>
      </w:pPr>
    </w:p>
    <w:p w:rsidR="001F1EF7" w:rsidRDefault="00B86C6B">
      <w:pPr>
        <w:ind w:left="720" w:hanging="720"/>
        <w:jc w:val="both"/>
      </w:pPr>
      <w:r>
        <w:t>3.4</w:t>
      </w:r>
      <w:r>
        <w:tab/>
        <w:t>Participants considering any interstate or intrastate travel should not purchase plane or other tickets prior to approval being discussed with the Drug Court.</w:t>
      </w:r>
    </w:p>
    <w:p w:rsidR="001F1EF7" w:rsidRDefault="001F1EF7">
      <w:pPr>
        <w:jc w:val="both"/>
      </w:pPr>
    </w:p>
    <w:p w:rsidR="001F1EF7" w:rsidRDefault="00B86C6B">
      <w:pPr>
        <w:ind w:left="720" w:hanging="720"/>
        <w:jc w:val="both"/>
      </w:pPr>
      <w:r>
        <w:t>3.5</w:t>
      </w:r>
      <w:r>
        <w:tab/>
        <w:t>Interstate travel will only be approved in exceptional circumstances, and overseas travel will not be approved.</w:t>
      </w:r>
    </w:p>
    <w:p w:rsidR="001F1EF7" w:rsidRDefault="001F1EF7">
      <w:pPr>
        <w:jc w:val="both"/>
      </w:pPr>
    </w:p>
    <w:p w:rsidR="001F1EF7" w:rsidRDefault="00B86C6B">
      <w:pPr>
        <w:pStyle w:val="Heading2"/>
        <w:ind w:firstLine="720"/>
        <w:jc w:val="both"/>
        <w:rPr>
          <w:i/>
          <w:iCs/>
          <w:sz w:val="24"/>
        </w:rPr>
      </w:pPr>
      <w:r>
        <w:rPr>
          <w:i/>
          <w:iCs/>
          <w:sz w:val="24"/>
        </w:rPr>
        <w:t>Gaol visits</w:t>
      </w:r>
    </w:p>
    <w:p w:rsidR="001F1EF7" w:rsidRDefault="001F1EF7">
      <w:pPr>
        <w:jc w:val="both"/>
      </w:pPr>
    </w:p>
    <w:p w:rsidR="001F1EF7" w:rsidRDefault="00B86C6B">
      <w:pPr>
        <w:ind w:left="720" w:hanging="720"/>
        <w:jc w:val="both"/>
      </w:pPr>
      <w:r>
        <w:t>4.1</w:t>
      </w:r>
      <w:r>
        <w:tab/>
        <w:t>The Drug Court accepts that it may be appropriate for a participant to be allowed to visit a person who is in a NSW gaol.  The prisoner to be visited must be a close relative or a person who is significant in the participant’s life.</w:t>
      </w:r>
    </w:p>
    <w:p w:rsidR="001F1EF7" w:rsidRDefault="001F1EF7">
      <w:pPr>
        <w:jc w:val="both"/>
      </w:pPr>
    </w:p>
    <w:p w:rsidR="001F1EF7" w:rsidRDefault="00B86C6B">
      <w:pPr>
        <w:ind w:left="720" w:hanging="720"/>
        <w:jc w:val="both"/>
      </w:pPr>
      <w:r>
        <w:t>4.2</w:t>
      </w:r>
      <w:r>
        <w:tab/>
        <w:t xml:space="preserve">The participant will be required to complete the </w:t>
      </w:r>
      <w:r>
        <w:rPr>
          <w:i/>
          <w:iCs/>
        </w:rPr>
        <w:t>“Travel Check List”</w:t>
      </w:r>
      <w:r>
        <w:t xml:space="preserve"> referred to above if the visit is interstate or in a regional location.</w:t>
      </w:r>
    </w:p>
    <w:p w:rsidR="001F1EF7" w:rsidRDefault="001F1EF7">
      <w:pPr>
        <w:jc w:val="both"/>
      </w:pPr>
    </w:p>
    <w:p w:rsidR="001F1EF7" w:rsidRDefault="00B86C6B">
      <w:pPr>
        <w:ind w:left="720" w:hanging="720"/>
        <w:jc w:val="both"/>
      </w:pPr>
      <w:r>
        <w:t>4.3</w:t>
      </w:r>
      <w:r>
        <w:tab/>
        <w:t>The Drug Court may support, or not oppose, the participant visiting a prisoner, however such approval does not in any way indicate that the Governor of the Corrective Centre will or should approve the visit.</w:t>
      </w:r>
    </w:p>
    <w:p w:rsidR="001F1EF7" w:rsidRDefault="001F1EF7">
      <w:pPr>
        <w:jc w:val="both"/>
      </w:pPr>
    </w:p>
    <w:p w:rsidR="001F1EF7" w:rsidRDefault="00B86C6B">
      <w:pPr>
        <w:ind w:left="720" w:hanging="720"/>
        <w:jc w:val="both"/>
      </w:pPr>
      <w:r>
        <w:t>4.4</w:t>
      </w:r>
      <w:r>
        <w:tab/>
        <w:t>The participant will be required to provide his or her Case Manager with the details of the prisoner to be visited.  The Case Manager will then contact the Governor of the Corrective Centre and advise the Governor of the Drug Court’s support for the visit, and of the participant’s progress on the Drug Court program.</w:t>
      </w:r>
    </w:p>
    <w:p w:rsidR="001F1EF7" w:rsidRDefault="001F1EF7">
      <w:pPr>
        <w:jc w:val="both"/>
      </w:pPr>
    </w:p>
    <w:p w:rsidR="001F1EF7" w:rsidRDefault="00B86C6B">
      <w:pPr>
        <w:ind w:left="720" w:hanging="720"/>
        <w:jc w:val="both"/>
      </w:pPr>
      <w:r>
        <w:t>4.5</w:t>
      </w:r>
      <w:r>
        <w:tab/>
        <w:t>The Drug Court may decide to support a gaol visit as a “once only” visit, or express support for ongoing visits.  The Drug Court can withdraw support for gaol visits at any time.</w:t>
      </w:r>
    </w:p>
    <w:p w:rsidR="001F1EF7" w:rsidRDefault="001F1EF7">
      <w:pPr>
        <w:jc w:val="both"/>
      </w:pPr>
    </w:p>
    <w:p w:rsidR="001F1EF7" w:rsidRDefault="00B86C6B">
      <w:pPr>
        <w:numPr>
          <w:ilvl w:val="1"/>
          <w:numId w:val="3"/>
        </w:numPr>
        <w:jc w:val="both"/>
      </w:pPr>
      <w:r>
        <w:t>The Drug Court will not approve any visits to a gaol interstate.</w:t>
      </w:r>
    </w:p>
    <w:sectPr w:rsidR="001F1EF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6B" w:rsidRDefault="00B86C6B" w:rsidP="00B86C6B">
      <w:r>
        <w:separator/>
      </w:r>
    </w:p>
  </w:endnote>
  <w:endnote w:type="continuationSeparator" w:id="0">
    <w:p w:rsidR="00B86C6B" w:rsidRDefault="00B86C6B" w:rsidP="00B8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6B" w:rsidRDefault="00B86C6B">
    <w:pPr>
      <w:pStyle w:val="Footer"/>
      <w:jc w:val="center"/>
    </w:pPr>
    <w:r>
      <w:fldChar w:fldCharType="begin"/>
    </w:r>
    <w:r>
      <w:instrText xml:space="preserve"> PAGE   \* MERGEFORMAT </w:instrText>
    </w:r>
    <w:r>
      <w:fldChar w:fldCharType="separate"/>
    </w:r>
    <w:r w:rsidR="004F7FB6">
      <w:rPr>
        <w:noProof/>
      </w:rPr>
      <w:t>1</w:t>
    </w:r>
    <w:r>
      <w:rPr>
        <w:noProof/>
      </w:rPr>
      <w:fldChar w:fldCharType="end"/>
    </w:r>
  </w:p>
  <w:p w:rsidR="00B86C6B" w:rsidRDefault="00B8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6B" w:rsidRDefault="00B86C6B" w:rsidP="00B86C6B">
      <w:r>
        <w:separator/>
      </w:r>
    </w:p>
  </w:footnote>
  <w:footnote w:type="continuationSeparator" w:id="0">
    <w:p w:rsidR="00B86C6B" w:rsidRDefault="00B86C6B" w:rsidP="00B86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3E7"/>
    <w:multiLevelType w:val="multilevel"/>
    <w:tmpl w:val="1898F81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DCF3523"/>
    <w:multiLevelType w:val="hybridMultilevel"/>
    <w:tmpl w:val="62862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FC06267"/>
    <w:multiLevelType w:val="hybridMultilevel"/>
    <w:tmpl w:val="841EE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6B"/>
    <w:rsid w:val="001F1EF7"/>
    <w:rsid w:val="004F7FB6"/>
    <w:rsid w:val="00B86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semiHidden/>
    <w:pPr>
      <w:tabs>
        <w:tab w:val="left" w:pos="1080"/>
      </w:tabs>
      <w:overflowPunct w:val="0"/>
      <w:autoSpaceDE w:val="0"/>
      <w:autoSpaceDN w:val="0"/>
      <w:adjustRightInd w:val="0"/>
      <w:ind w:left="720"/>
      <w:jc w:val="both"/>
      <w:textAlignment w:val="baseline"/>
    </w:pPr>
    <w:rPr>
      <w:szCs w:val="20"/>
    </w:rPr>
  </w:style>
  <w:style w:type="paragraph" w:styleId="BodyText3">
    <w:name w:val="Body Text 3"/>
    <w:basedOn w:val="Normal"/>
    <w:semiHidden/>
    <w:pPr>
      <w:jc w:val="both"/>
    </w:p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link w:val="Footer"/>
    <w:uiPriority w:val="99"/>
    <w:rsid w:val="00B86C6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semiHidden/>
    <w:pPr>
      <w:tabs>
        <w:tab w:val="left" w:pos="1080"/>
      </w:tabs>
      <w:overflowPunct w:val="0"/>
      <w:autoSpaceDE w:val="0"/>
      <w:autoSpaceDN w:val="0"/>
      <w:adjustRightInd w:val="0"/>
      <w:ind w:left="720"/>
      <w:jc w:val="both"/>
      <w:textAlignment w:val="baseline"/>
    </w:pPr>
    <w:rPr>
      <w:szCs w:val="20"/>
    </w:rPr>
  </w:style>
  <w:style w:type="paragraph" w:styleId="BodyText3">
    <w:name w:val="Body Text 3"/>
    <w:basedOn w:val="Normal"/>
    <w:semiHidden/>
    <w:pPr>
      <w:jc w:val="both"/>
    </w:p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link w:val="Footer"/>
    <w:uiPriority w:val="99"/>
    <w:rsid w:val="00B86C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D29E-0928-4F09-9BC2-83ADF2187FCE}">
  <ds:schemaRefs>
    <ds:schemaRef ds:uri="http://purl.org/dc/elements/1.1/"/>
    <ds:schemaRef ds:uri="http://schemas.microsoft.com/sharepoint/v3"/>
    <ds:schemaRef ds:uri="653557a5-4810-42c8-bbed-32755ff901a0"/>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767F08F-7276-4362-BD02-070E97C8914D}">
  <ds:schemaRefs>
    <ds:schemaRef ds:uri="http://schemas.microsoft.com/sharepoint/v3/contenttype/forms"/>
  </ds:schemaRefs>
</ds:datastoreItem>
</file>

<file path=customXml/itemProps3.xml><?xml version="1.0" encoding="utf-8"?>
<ds:datastoreItem xmlns:ds="http://schemas.openxmlformats.org/officeDocument/2006/customXml" ds:itemID="{621B2807-2814-4934-83C1-82A499934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714B9167.dotm</Template>
  <TotalTime>0</TotalTime>
  <Pages>2</Pages>
  <Words>588</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ONLY</vt:lpstr>
    </vt:vector>
  </TitlesOfParts>
  <Company>NSW Attorney General's Department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Roger DIVE</dc:creator>
  <cp:lastModifiedBy>Jan Dutton</cp:lastModifiedBy>
  <cp:revision>2</cp:revision>
  <cp:lastPrinted>2009-10-20T01:36:00Z</cp:lastPrinted>
  <dcterms:created xsi:type="dcterms:W3CDTF">2020-05-04T22:34:00Z</dcterms:created>
  <dcterms:modified xsi:type="dcterms:W3CDTF">2020-05-04T22:34:00Z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